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678" w:type="dxa"/>
        <w:jc w:val="left"/>
        <w:tblInd w:w="64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78"/>
      </w:tblGrid>
      <w:tr>
        <w:trPr/>
        <w:tc>
          <w:tcPr>
            <w:tcW w:w="4678" w:type="dxa"/>
            <w:tcBorders/>
          </w:tcPr>
          <w:p>
            <w:pPr>
              <w:pStyle w:val="Normal"/>
              <w:suppressAutoHyphens w:val="true"/>
              <w:ind w:hanging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>
              <w:rPr>
                <w:b/>
                <w:sz w:val="26"/>
                <w:szCs w:val="26"/>
                <w:lang w:val="ru-RU" w:eastAsia="ru-RU" w:bidi="ar-SA"/>
              </w:rPr>
              <w:t>Р</w:t>
            </w:r>
            <w:r>
              <w:rPr>
                <w:b/>
                <w:sz w:val="26"/>
                <w:szCs w:val="26"/>
                <w:lang w:val="ru-RU" w:eastAsia="ru-RU" w:bidi="ar-SA"/>
              </w:rPr>
              <w:t>уководител</w:t>
            </w:r>
            <w:r>
              <w:rPr>
                <w:b/>
                <w:sz w:val="26"/>
                <w:szCs w:val="26"/>
                <w:lang w:val="ru-RU" w:eastAsia="ru-RU" w:bidi="ar-SA"/>
              </w:rPr>
              <w:t>ю</w:t>
            </w:r>
          </w:p>
          <w:p>
            <w:pPr>
              <w:pStyle w:val="Normal"/>
              <w:suppressAutoHyphens w:val="true"/>
              <w:ind w:hanging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>
              <w:rPr>
                <w:b/>
                <w:sz w:val="26"/>
                <w:szCs w:val="26"/>
                <w:lang w:val="ru-RU" w:eastAsia="ru-RU" w:bidi="ar-SA"/>
              </w:rPr>
              <w:t xml:space="preserve">Забайкальского филиала </w:t>
            </w:r>
          </w:p>
          <w:p>
            <w:pPr>
              <w:pStyle w:val="Normal"/>
              <w:suppressAutoHyphens w:val="true"/>
              <w:ind w:hanging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>
              <w:rPr>
                <w:b/>
                <w:sz w:val="26"/>
                <w:szCs w:val="26"/>
                <w:lang w:val="ru-RU" w:eastAsia="ru-RU" w:bidi="ar-SA"/>
              </w:rPr>
              <w:t>ФБУ «Бурятский ЦСМ»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Normal"/>
              <w:suppressAutoHyphens w:val="true"/>
              <w:ind w:hanging="0"/>
              <w:jc w:val="left"/>
              <w:rPr>
                <w:b/>
                <w:sz w:val="26"/>
                <w:szCs w:val="26"/>
                <w:lang w:val="ru-RU" w:eastAsia="ru-RU" w:bidi="ar-SA"/>
              </w:rPr>
            </w:pPr>
            <w:r>
              <w:rPr>
                <w:b/>
                <w:sz w:val="26"/>
                <w:szCs w:val="26"/>
                <w:lang w:val="ru-RU" w:eastAsia="ru-RU" w:bidi="ar-SA"/>
              </w:rPr>
              <w:t>Киргинцеву В.Ю.</w:t>
            </w:r>
          </w:p>
        </w:tc>
      </w:tr>
      <w:tr>
        <w:trPr>
          <w:cantSplit w:val="true"/>
        </w:trPr>
        <w:tc>
          <w:tcPr>
            <w:tcW w:w="4678" w:type="dxa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uppressAutoHyphens w:val="true"/>
              <w:ind w:hanging="0"/>
              <w:jc w:val="left"/>
              <w:outlineLvl w:val="0"/>
              <w:rPr>
                <w:bCs/>
                <w:kern w:val="2"/>
                <w:sz w:val="26"/>
                <w:szCs w:val="26"/>
                <w:vertAlign w:val="superscript"/>
                <w:lang w:val="ru-RU" w:eastAsia="ru-RU" w:bidi="ar-SA"/>
              </w:rPr>
            </w:pPr>
            <w:r>
              <w:rPr>
                <w:bCs/>
                <w:kern w:val="2"/>
                <w:sz w:val="26"/>
                <w:szCs w:val="26"/>
                <w:vertAlign w:val="superscript"/>
                <w:lang w:val="ru-RU" w:eastAsia="ru-RU" w:bidi="ar-SA"/>
              </w:rPr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uppressAutoHyphens w:val="true"/>
        <w:ind w:firstLine="278"/>
        <w:jc w:val="center"/>
        <w:outlineLvl w:val="3"/>
        <w:rPr>
          <w:b/>
          <w:bCs/>
          <w:szCs w:val="28"/>
          <w:lang w:val="ru-RU" w:eastAsia="ru-RU" w:bidi="ar-SA"/>
        </w:rPr>
      </w:pPr>
      <w:r>
        <w:rPr>
          <w:b/>
          <w:bCs/>
          <w:szCs w:val="28"/>
          <w:lang w:val="ru-RU" w:eastAsia="ru-RU" w:bidi="ar-SA"/>
        </w:rPr>
        <w:t>ЗАЯВКА</w:t>
      </w:r>
    </w:p>
    <w:p>
      <w:pPr>
        <w:pStyle w:val="Normal"/>
        <w:suppressAutoHyphens w:val="true"/>
        <w:ind w:hanging="0"/>
        <w:jc w:val="center"/>
        <w:rPr>
          <w:b/>
          <w:color w:val="000000"/>
          <w:sz w:val="22"/>
          <w:szCs w:val="24"/>
          <w:lang w:val="ru-RU" w:eastAsia="ru-RU" w:bidi="ar-SA"/>
        </w:rPr>
      </w:pPr>
      <w:r>
        <w:rPr>
          <w:b/>
          <w:color w:val="000000"/>
          <w:sz w:val="22"/>
          <w:szCs w:val="24"/>
          <w:lang w:val="ru-RU" w:eastAsia="ru-RU" w:bidi="ar-SA"/>
        </w:rPr>
        <w:t xml:space="preserve">НА ПРОВЕДЕНИЕ </w:t>
      </w:r>
      <w:r>
        <w:rPr>
          <w:b/>
          <w:color w:val="000000"/>
          <w:sz w:val="22"/>
          <w:lang w:val="ru-RU" w:eastAsia="ru-RU" w:bidi="ar-SA"/>
        </w:rPr>
        <w:t xml:space="preserve">ИЗМЕРЕНИЙ </w:t>
      </w:r>
      <w:r>
        <w:rPr>
          <w:b/>
          <w:color w:val="000000"/>
          <w:sz w:val="22"/>
          <w:szCs w:val="24"/>
          <w:lang w:val="ru-RU" w:eastAsia="ru-RU" w:bidi="ar-SA"/>
        </w:rPr>
        <w:t>ПОКАЗАТЕЛЕЙ</w:t>
      </w:r>
    </w:p>
    <w:p>
      <w:pPr>
        <w:pStyle w:val="Normal"/>
        <w:suppressAutoHyphens w:val="true"/>
        <w:ind w:hanging="0"/>
        <w:jc w:val="center"/>
        <w:rPr>
          <w:b/>
          <w:color w:val="000000"/>
          <w:sz w:val="22"/>
          <w:szCs w:val="24"/>
          <w:lang w:val="ru-RU" w:eastAsia="ru-RU" w:bidi="ar-SA"/>
        </w:rPr>
      </w:pPr>
      <w:r>
        <w:rPr>
          <w:b/>
          <w:color w:val="000000"/>
          <w:sz w:val="22"/>
          <w:szCs w:val="24"/>
          <w:lang w:val="ru-RU" w:eastAsia="ru-RU" w:bidi="ar-SA"/>
        </w:rPr>
        <w:t>КАЧЕСТВА ЭЛЕКТРИЧЕСКОЙ ЭНЕРГИИ</w:t>
      </w:r>
    </w:p>
    <w:p>
      <w:pPr>
        <w:pStyle w:val="Normal"/>
        <w:suppressAutoHyphens w:val="true"/>
        <w:ind w:hanging="0"/>
        <w:jc w:val="left"/>
        <w:rPr>
          <w:color w:val="000000"/>
          <w:sz w:val="16"/>
          <w:szCs w:val="16"/>
          <w:lang w:val="ru-RU" w:eastAsia="ru-RU" w:bidi="ar-SA"/>
        </w:rPr>
      </w:pPr>
      <w:r>
        <w:rPr>
          <w:color w:val="000000"/>
          <w:sz w:val="16"/>
          <w:szCs w:val="16"/>
          <w:lang w:val="ru-RU" w:eastAsia="ru-RU" w:bidi="ar-SA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772"/>
      </w:tblGrid>
      <w:tr>
        <w:trPr/>
        <w:tc>
          <w:tcPr>
            <w:tcW w:w="10772" w:type="dxa"/>
            <w:tcBorders>
              <w:bottom w:val="single" w:sz="4" w:space="0" w:color="000000"/>
            </w:tcBorders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</w:tbl>
    <w:p>
      <w:pPr>
        <w:pStyle w:val="Normal"/>
        <w:suppressAutoHyphens w:val="true"/>
        <w:spacing w:before="0" w:after="120"/>
        <w:ind w:hanging="0"/>
        <w:jc w:val="center"/>
        <w:rPr>
          <w:color w:val="000000"/>
          <w:sz w:val="24"/>
          <w:szCs w:val="24"/>
          <w:lang w:val="ru-RU" w:eastAsia="ru-RU" w:bidi="ar-SA"/>
        </w:rPr>
      </w:pPr>
      <w:r>
        <w:rPr>
          <w:color w:val="000000"/>
          <w:sz w:val="16"/>
          <w:szCs w:val="24"/>
          <w:lang w:val="ru-RU" w:eastAsia="ru-RU" w:bidi="ar-SA"/>
        </w:rPr>
        <w:t>наименование организации-заказчика, в интересах которого будут проводиться измерения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39"/>
        <w:gridCol w:w="2658"/>
        <w:gridCol w:w="817"/>
        <w:gridCol w:w="2520"/>
        <w:gridCol w:w="815"/>
        <w:gridCol w:w="3022"/>
      </w:tblGrid>
      <w:tr>
        <w:trPr>
          <w:trHeight w:val="329" w:hRule="atLeast"/>
        </w:trPr>
        <w:tc>
          <w:tcPr>
            <w:tcW w:w="939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ОГРН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17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15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КПП</w:t>
            </w:r>
          </w:p>
        </w:tc>
        <w:tc>
          <w:tcPr>
            <w:tcW w:w="302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uppressAutoHyphens w:val="true"/>
        <w:ind w:hanging="0"/>
        <w:jc w:val="left"/>
        <w:rPr>
          <w:color w:val="000000"/>
          <w:sz w:val="16"/>
          <w:szCs w:val="16"/>
          <w:lang w:val="ru-RU" w:eastAsia="ru-RU" w:bidi="ar-SA"/>
        </w:rPr>
      </w:pPr>
      <w:r>
        <w:rPr>
          <w:color w:val="000000"/>
          <w:sz w:val="16"/>
          <w:szCs w:val="16"/>
          <w:lang w:val="ru-RU" w:eastAsia="ru-RU" w:bidi="ar-SA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328"/>
        <w:gridCol w:w="8443"/>
      </w:tblGrid>
      <w:tr>
        <w:trPr/>
        <w:tc>
          <w:tcPr>
            <w:tcW w:w="2328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Юридический адрес:</w:t>
            </w:r>
          </w:p>
        </w:tc>
        <w:tc>
          <w:tcPr>
            <w:tcW w:w="844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uppressAutoHyphens w:val="true"/>
        <w:ind w:hanging="0"/>
        <w:jc w:val="left"/>
        <w:rPr>
          <w:color w:val="000000"/>
          <w:sz w:val="16"/>
          <w:szCs w:val="16"/>
          <w:lang w:val="ru-RU" w:eastAsia="ru-RU" w:bidi="ar-SA"/>
        </w:rPr>
      </w:pPr>
      <w:r>
        <w:rPr>
          <w:color w:val="000000"/>
          <w:sz w:val="16"/>
          <w:szCs w:val="16"/>
          <w:lang w:val="ru-RU" w:eastAsia="ru-RU" w:bidi="ar-SA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396"/>
        <w:gridCol w:w="2475"/>
        <w:gridCol w:w="903"/>
        <w:gridCol w:w="2182"/>
        <w:gridCol w:w="1142"/>
        <w:gridCol w:w="2673"/>
      </w:tblGrid>
      <w:tr>
        <w:trPr>
          <w:trHeight w:val="171" w:hRule="atLeast"/>
        </w:trPr>
        <w:tc>
          <w:tcPr>
            <w:tcW w:w="1396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Телефон: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3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Факс:</w:t>
            </w:r>
          </w:p>
        </w:tc>
        <w:tc>
          <w:tcPr>
            <w:tcW w:w="218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42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eastAsia="ru-RU" w:bidi="ar-SA"/>
              </w:rPr>
              <w:t>E-mail</w:t>
            </w:r>
            <w:r>
              <w:rPr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</w:tc>
        <w:tc>
          <w:tcPr>
            <w:tcW w:w="267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uppressAutoHyphens w:val="true"/>
        <w:ind w:hanging="0"/>
        <w:jc w:val="left"/>
        <w:rPr>
          <w:color w:val="000000"/>
          <w:sz w:val="16"/>
          <w:szCs w:val="16"/>
          <w:lang w:val="ru-RU" w:eastAsia="ru-RU" w:bidi="ar-SA"/>
        </w:rPr>
      </w:pPr>
      <w:r>
        <w:rPr>
          <w:color w:val="000000"/>
          <w:sz w:val="16"/>
          <w:szCs w:val="16"/>
          <w:lang w:val="ru-RU" w:eastAsia="ru-RU" w:bidi="ar-SA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33"/>
        <w:gridCol w:w="9638"/>
      </w:tblGrid>
      <w:tr>
        <w:trPr/>
        <w:tc>
          <w:tcPr>
            <w:tcW w:w="1133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jc w:val="left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в лице</w:t>
            </w:r>
          </w:p>
        </w:tc>
        <w:tc>
          <w:tcPr>
            <w:tcW w:w="9638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ind w:hanging="0"/>
              <w:jc w:val="center"/>
              <w:rPr>
                <w:i/>
                <w:i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i/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uppressAutoHyphens w:val="true"/>
        <w:ind w:hanging="0"/>
        <w:jc w:val="center"/>
        <w:rPr>
          <w:color w:val="000000"/>
          <w:sz w:val="24"/>
          <w:szCs w:val="24"/>
          <w:vertAlign w:val="superscript"/>
          <w:lang w:val="ru-RU" w:eastAsia="ru-RU" w:bidi="ar-SA"/>
        </w:rPr>
      </w:pPr>
      <w:r>
        <w:rPr>
          <w:color w:val="000000"/>
          <w:sz w:val="24"/>
          <w:szCs w:val="24"/>
          <w:vertAlign w:val="superscript"/>
          <w:lang w:val="ru-RU" w:eastAsia="ru-RU" w:bidi="ar-SA"/>
        </w:rPr>
        <w:t>должность, фамилия, имя, отчество руководителя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0772"/>
      </w:tblGrid>
      <w:tr>
        <w:trPr>
          <w:trHeight w:val="6089" w:hRule="atLeast"/>
        </w:trPr>
        <w:tc>
          <w:tcPr>
            <w:tcW w:w="10772" w:type="dxa"/>
            <w:tcBorders/>
            <w:vAlign w:val="bottom"/>
          </w:tcPr>
          <w:p>
            <w:pPr>
              <w:pStyle w:val="Normal"/>
              <w:suppressAutoHyphens w:val="true"/>
              <w:ind w:hanging="0"/>
              <w:rPr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 xml:space="preserve">просит провести измерения показателей качества электрической энергии </w:t>
            </w:r>
            <w:r>
              <w:rPr>
                <w:sz w:val="24"/>
                <w:szCs w:val="24"/>
                <w:lang w:val="ru-RU" w:eastAsia="ru-RU" w:bidi="ar-SA"/>
              </w:rPr>
              <w:t xml:space="preserve">на соответствие требованиям ГОСТ 32144-2013 </w:t>
            </w:r>
            <w:r>
              <w:rPr>
                <w:sz w:val="24"/>
                <w:szCs w:val="24"/>
                <w:lang w:val="ru-RU" w:eastAsia="ru-RU"/>
              </w:rPr>
              <w:t>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назначения»:</w:t>
            </w:r>
          </w:p>
          <w:p>
            <w:pPr>
              <w:pStyle w:val="Normal"/>
              <w:suppressAutoHyphens w:val="true"/>
              <w:ind w:hanging="0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</w:r>
          </w:p>
          <w:tbl>
            <w:tblPr>
              <w:tblStyle w:val="a7"/>
              <w:tblW w:w="1075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5948"/>
              <w:gridCol w:w="2978"/>
              <w:gridCol w:w="1831"/>
            </w:tblGrid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  <w:t>Определяемый показатель</w:t>
                  </w:r>
                </w:p>
              </w:tc>
              <w:tc>
                <w:tcPr>
                  <w:tcW w:w="297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  <w:t>Реквизиты методики измерений</w:t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  <w:t>Вид измерений</w:t>
                  </w:r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  <w:t>(отметить –V)</w:t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Отклонение частоты</w:t>
                  </w:r>
                </w:p>
              </w:tc>
              <w:tc>
                <w:tcPr>
                  <w:tcW w:w="2978" w:type="dxa"/>
                  <w:vMerge w:val="restart"/>
                  <w:tcBorders/>
                </w:tcPr>
                <w:p>
                  <w:pPr>
                    <w:pStyle w:val="Normal"/>
                    <w:widowControl/>
                    <w:spacing w:before="0" w:after="0"/>
                    <w:rPr>
                      <w:sz w:val="20"/>
                      <w:szCs w:val="20"/>
                    </w:rPr>
                  </w:pPr>
                  <w:hyperlink r:id="rId2" w:tooltip="&quot;ГОСТ 33073-2014 Электрическая энергия. Совместимость технических средств электромагнитная ...&quot; (утв. приказом Росстандарта от 08.12.2014 N 1948-ст) Статус: действующая редакция (действ. с 01.08.2019)">
                    <w:r>
                      <w:rPr>
                        <w:rStyle w:val="Hyperlink"/>
                        <w:rFonts w:cs="Times New Roman"/>
                        <w:color w:val="auto"/>
                        <w:kern w:val="0"/>
                        <w:sz w:val="20"/>
                        <w:szCs w:val="20"/>
                        <w:u w:val="none"/>
                      </w:rPr>
                      <w:t>ГОСТ 33073</w:t>
                    </w:r>
                  </w:hyperlink>
                </w:p>
                <w:p>
                  <w:pPr>
                    <w:pStyle w:val="Normal"/>
                    <w:widowControl/>
                    <w:spacing w:before="0" w:after="0"/>
                    <w:rPr>
                      <w:sz w:val="20"/>
                      <w:szCs w:val="20"/>
                    </w:rPr>
                  </w:pPr>
                  <w:hyperlink r:id="rId3" w:tooltip="&quot;ГОСТ 30804.4.30-2013 (IEC 61000-4-30:2008) Электрическая энергия ...&quot; (утв. приказом Росстандарта от 22.07.2013 N 418-ст) Применяется с 01.01.2014 ... Статус: действующая редакция (действ. с 01.07.2019) Применяется для целей технического регламента">
                    <w:r>
                      <w:rPr>
                        <w:rStyle w:val="Hyperlink"/>
                        <w:rFonts w:cs="Times New Roman"/>
                        <w:color w:val="auto"/>
                        <w:kern w:val="0"/>
                        <w:sz w:val="20"/>
                        <w:szCs w:val="20"/>
                        <w:u w:val="none"/>
                      </w:rPr>
                      <w:t>ГОСТ 30804.4.30</w:t>
                    </w:r>
                  </w:hyperlink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Положительное и отрицательное отклонение напряжения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Кратковременная доза фликера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Длительная доза фликера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Коэффициент несимметрии напряжений в трехфазных системах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Длительность прерывания напряжения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Длительность  перенапряжений по максимальному напряжению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Длительность провалов по остаточному напряжению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 xml:space="preserve">Коэффициент гармонических составляющих напряжений порядка </w:t>
                  </w: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eastAsia="ru-RU" w:bidi="ar-SA"/>
                    </w:rPr>
                    <w:t>n</w:t>
                  </w:r>
                </w:p>
              </w:tc>
              <w:tc>
                <w:tcPr>
                  <w:tcW w:w="2978" w:type="dxa"/>
                  <w:vMerge w:val="restart"/>
                  <w:tcBorders/>
                </w:tcPr>
                <w:p>
                  <w:pPr>
                    <w:pStyle w:val="Normal"/>
                    <w:widowControl/>
                    <w:spacing w:before="0" w:after="0"/>
                    <w:rPr>
                      <w:sz w:val="20"/>
                      <w:szCs w:val="20"/>
                    </w:rPr>
                  </w:pPr>
                  <w:hyperlink r:id="rId4" w:tooltip="&quot;ГОСТ 30804.4.7-2013 (IEC 61000-4-7:2009) Совместимость технических ...&quot; (утв. приказом Росстандарта от 22.07.2013 N 429-ст) Применяется с 01.01.2014 ... Статус: действующая редакция (действ. с 01.07.2019) Применяется для целей технического регламен">
                    <w:r>
                      <w:rPr>
                        <w:rStyle w:val="Hyperlink"/>
                        <w:rFonts w:cs="Times New Roman"/>
                        <w:color w:val="auto"/>
                        <w:kern w:val="0"/>
                        <w:sz w:val="20"/>
                        <w:szCs w:val="20"/>
                        <w:u w:val="none"/>
                      </w:rPr>
                      <w:t>ГОСТ 30804.4.7</w:t>
                    </w:r>
                  </w:hyperlink>
                </w:p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  <w:tr>
              <w:trPr/>
              <w:tc>
                <w:tcPr>
                  <w:tcW w:w="5948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left"/>
                    <w:rPr>
                      <w:bCs/>
                      <w:color w:val="00000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Суммарный коэффициент гармонических составляющих напряжений</w:t>
                  </w:r>
                </w:p>
              </w:tc>
              <w:tc>
                <w:tcPr>
                  <w:tcW w:w="2978" w:type="dxa"/>
                  <w:vMerge w:val="continue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  <w:tc>
                <w:tcPr>
                  <w:tcW w:w="1831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ind w:hanging="0"/>
                    <w:jc w:val="center"/>
                    <w:rPr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cs="Times New Roman"/>
                      <w:kern w:val="0"/>
                      <w:sz w:val="24"/>
                      <w:szCs w:val="24"/>
                      <w:lang w:val="ru-RU" w:eastAsia="ru-RU"/>
                    </w:rPr>
                  </w:r>
                </w:p>
              </w:tc>
            </w:tr>
          </w:tbl>
          <w:p>
            <w:pPr>
              <w:pStyle w:val="Normal"/>
              <w:suppressAutoHyphens w:val="true"/>
              <w:ind w:hanging="0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27"/>
        <w:gridCol w:w="7144"/>
      </w:tblGrid>
      <w:tr>
        <w:trPr/>
        <w:tc>
          <w:tcPr>
            <w:tcW w:w="3627" w:type="dxa"/>
            <w:tcBorders/>
            <w:vAlign w:val="bottom"/>
          </w:tcPr>
          <w:p>
            <w:pPr>
              <w:pStyle w:val="Normal"/>
              <w:ind w:hanging="0"/>
              <w:rPr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lang w:val="ru-RU" w:eastAsia="ru-RU" w:bidi="ar-SA"/>
              </w:rPr>
              <w:t>Организация и</w:t>
            </w:r>
          </w:p>
        </w:tc>
        <w:tc>
          <w:tcPr>
            <w:tcW w:w="71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hanging="0"/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r>
          </w:p>
        </w:tc>
      </w:tr>
      <w:tr>
        <w:trPr/>
        <w:tc>
          <w:tcPr>
            <w:tcW w:w="3627" w:type="dxa"/>
            <w:tcBorders/>
            <w:vAlign w:val="bottom"/>
          </w:tcPr>
          <w:p>
            <w:pPr>
              <w:pStyle w:val="Normal"/>
              <w:ind w:hanging="0"/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  <w:t>адрес проведения измерений:</w:t>
            </w:r>
          </w:p>
        </w:tc>
        <w:tc>
          <w:tcPr>
            <w:tcW w:w="7144" w:type="dxa"/>
            <w:tcBorders/>
            <w:vAlign w:val="bottom"/>
          </w:tcPr>
          <w:p>
            <w:pPr>
              <w:pStyle w:val="Normal"/>
              <w:ind w:hanging="0"/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r>
          </w:p>
        </w:tc>
      </w:tr>
      <w:tr>
        <w:trPr/>
        <w:tc>
          <w:tcPr>
            <w:tcW w:w="3627" w:type="dxa"/>
            <w:tcBorders/>
            <w:vAlign w:val="bottom"/>
          </w:tcPr>
          <w:p>
            <w:pPr>
              <w:pStyle w:val="Normal"/>
              <w:ind w:hanging="0"/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  <w:lang w:val="ru-RU" w:eastAsia="ru-RU"/>
              </w:rPr>
              <w:t>Представитель заказчика:</w:t>
            </w:r>
          </w:p>
        </w:tc>
        <w:tc>
          <w:tcPr>
            <w:tcW w:w="714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hanging="0"/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r>
          </w:p>
        </w:tc>
      </w:tr>
    </w:tbl>
    <w:p>
      <w:pPr>
        <w:pStyle w:val="Normal"/>
        <w:ind w:hanging="0"/>
        <w:jc w:val="center"/>
        <w:rPr>
          <w:rFonts w:cs="Arial"/>
          <w:b/>
          <w:bCs/>
          <w:color w:val="000000"/>
          <w:sz w:val="24"/>
          <w:szCs w:val="24"/>
          <w:lang w:val="ru-RU" w:eastAsia="ru-RU"/>
        </w:rPr>
      </w:pPr>
      <w:r>
        <w:rPr>
          <w:rFonts w:cs="Arial"/>
          <w:b/>
          <w:bCs/>
          <w:color w:val="000000"/>
          <w:sz w:val="24"/>
          <w:szCs w:val="24"/>
          <w:lang w:val="ru-RU" w:eastAsia="ru-RU"/>
        </w:rPr>
      </w:r>
    </w:p>
    <w:p>
      <w:pPr>
        <w:pStyle w:val="Normal"/>
        <w:ind w:hanging="0"/>
        <w:jc w:val="center"/>
        <w:rPr>
          <w:rFonts w:cs="Arial"/>
          <w:b/>
          <w:bCs/>
          <w:color w:val="000000"/>
          <w:sz w:val="24"/>
          <w:szCs w:val="24"/>
          <w:lang w:val="ru-RU" w:eastAsia="ru-RU"/>
        </w:rPr>
      </w:pPr>
      <w:r>
        <w:rPr>
          <w:rFonts w:cs="Arial"/>
          <w:b/>
          <w:bCs/>
          <w:color w:val="000000"/>
          <w:sz w:val="24"/>
          <w:szCs w:val="24"/>
          <w:lang w:val="ru-RU" w:eastAsia="ru-RU"/>
        </w:rPr>
        <w:t>ПЕРЕЧЕНЬ</w:t>
      </w:r>
    </w:p>
    <w:p>
      <w:pPr>
        <w:pStyle w:val="Normal"/>
        <w:ind w:hanging="0"/>
        <w:jc w:val="center"/>
        <w:rPr>
          <w:rFonts w:cs="Arial"/>
          <w:b/>
          <w:bCs/>
          <w:color w:val="000000"/>
          <w:sz w:val="24"/>
          <w:szCs w:val="24"/>
          <w:lang w:val="ru-RU" w:eastAsia="ru-RU"/>
        </w:rPr>
      </w:pPr>
      <w:r>
        <w:rPr>
          <w:rFonts w:cs="Arial"/>
          <w:b/>
          <w:bCs/>
          <w:color w:val="000000"/>
          <w:sz w:val="24"/>
          <w:szCs w:val="24"/>
          <w:lang w:val="ru-RU" w:eastAsia="ru-RU"/>
        </w:rPr>
        <w:t>распределительных электрических сетей с центрами питания</w:t>
      </w:r>
    </w:p>
    <w:tbl>
      <w:tblPr>
        <w:tblW w:w="5000" w:type="pct"/>
        <w:jc w:val="left"/>
        <w:tblInd w:w="3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/>
      </w:tblPr>
      <w:tblGrid>
        <w:gridCol w:w="645"/>
        <w:gridCol w:w="3438"/>
        <w:gridCol w:w="2938"/>
        <w:gridCol w:w="3750"/>
      </w:tblGrid>
      <w:tr>
        <w:trPr/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hanging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color w:val="000000"/>
                <w:sz w:val="24"/>
                <w:szCs w:val="24"/>
                <w:lang w:eastAsia="ru-RU"/>
              </w:rPr>
              <w:t>п/п</w:t>
            </w:r>
          </w:p>
          <w:p>
            <w:pPr>
              <w:pStyle w:val="Normal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Наименование подстанции, центра питания, секции распределительного устройства (РУ), номинальное напряжение присоединенной сети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Номера распределительных линий, присоединенных к центру питания</w:t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firstLine="44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  <w:t>Наименование распределительных пунктов (РП), распределительных трансформаторных подстанций (РТП) или трансформаторных подстанций (ТП)</w:t>
            </w:r>
          </w:p>
        </w:tc>
      </w:tr>
      <w:tr>
        <w:trPr/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/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>
              <w:rPr>
                <w:color w:val="000000"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p>
      <w:pPr>
        <w:pStyle w:val="Normal"/>
        <w:suppressAutoHyphens w:val="true"/>
        <w:ind w:hanging="0"/>
        <w:jc w:val="left"/>
        <w:rPr>
          <w:color w:val="000000"/>
          <w:sz w:val="24"/>
          <w:szCs w:val="24"/>
          <w:lang w:val="ru-RU" w:eastAsia="ru-RU" w:bidi="ar-SA"/>
        </w:rPr>
      </w:pPr>
      <w:r>
        <w:rPr>
          <w:color w:val="000000"/>
          <w:sz w:val="24"/>
          <w:szCs w:val="24"/>
          <w:lang w:val="ru-RU" w:eastAsia="ru-RU" w:bidi="ar-SA"/>
        </w:rPr>
      </w:r>
    </w:p>
    <w:p>
      <w:pPr>
        <w:pStyle w:val="Normal"/>
        <w:suppressAutoHyphens w:val="true"/>
        <w:ind w:hanging="0"/>
        <w:jc w:val="left"/>
        <w:rPr>
          <w:color w:val="000000"/>
          <w:sz w:val="24"/>
          <w:szCs w:val="24"/>
          <w:lang w:val="ru-RU" w:eastAsia="ru-RU" w:bidi="ar-SA"/>
        </w:rPr>
      </w:pPr>
      <w:r>
        <w:rPr>
          <w:color w:val="000000"/>
          <w:sz w:val="24"/>
          <w:szCs w:val="24"/>
          <w:lang w:val="ru-RU" w:eastAsia="ru-RU" w:bidi="ar-SA"/>
        </w:rPr>
      </w:r>
    </w:p>
    <w:p>
      <w:pPr>
        <w:pStyle w:val="Normal"/>
        <w:suppressAutoHyphens w:val="true"/>
        <w:ind w:hanging="0"/>
        <w:jc w:val="left"/>
        <w:rPr>
          <w:color w:val="000000"/>
          <w:sz w:val="24"/>
          <w:szCs w:val="24"/>
          <w:lang w:val="ru-RU" w:eastAsia="ru-RU" w:bidi="ar-SA"/>
        </w:rPr>
      </w:pPr>
      <w:r>
        <w:rPr>
          <w:color w:val="000000"/>
          <w:sz w:val="24"/>
          <w:szCs w:val="24"/>
          <w:lang w:val="ru-RU" w:eastAsia="ru-RU" w:bidi="ar-SA"/>
        </w:rPr>
        <w:t>Заявитель обязуется:</w:t>
      </w:r>
    </w:p>
    <w:p>
      <w:pPr>
        <w:pStyle w:val="Normal"/>
        <w:suppressAutoHyphens w:val="true"/>
        <w:ind w:hanging="0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- обеспечить доступ на объекты для проведения измерений ЭЭ по показателям качества;</w:t>
      </w:r>
    </w:p>
    <w:p>
      <w:pPr>
        <w:pStyle w:val="Normal"/>
        <w:suppressAutoHyphens w:val="true"/>
        <w:ind w:hanging="182" w:left="182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- ограничить доступ посторонних лиц к оборудованию Забайкальского филиала ФБУ «Бурятский ЦСМ» на время проведения измерений;</w:t>
      </w:r>
    </w:p>
    <w:p>
      <w:pPr>
        <w:pStyle w:val="Normal"/>
        <w:suppressAutoHyphens w:val="true"/>
        <w:ind w:hanging="0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- обеспечить бесперебойное питание измерительных приборов Забайкальского филиала ФБУ «Бурятский ЦСМ»;</w:t>
      </w:r>
    </w:p>
    <w:p>
      <w:pPr>
        <w:pStyle w:val="Normal"/>
        <w:suppressAutoHyphens w:val="true"/>
        <w:ind w:hanging="0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- обеспечить сохранность оборудования Забайкальского филиала ФБУ «Бурятский ЦСМ»;</w:t>
      </w:r>
    </w:p>
    <w:p>
      <w:pPr>
        <w:pStyle w:val="Normal"/>
        <w:suppressAutoHyphens w:val="true"/>
        <w:ind w:hanging="0"/>
        <w:jc w:val="left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- оплатить все расходы по проведению и организации измерений.</w:t>
      </w:r>
    </w:p>
    <w:p>
      <w:pPr>
        <w:pStyle w:val="Normal"/>
        <w:suppressAutoHyphens w:val="true"/>
        <w:ind w:hanging="0"/>
        <w:jc w:val="left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</w:r>
    </w:p>
    <w:p>
      <w:pPr>
        <w:pStyle w:val="Normal"/>
        <w:ind w:hanging="0"/>
        <w:rPr>
          <w:b/>
          <w:bCs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Способ передачи результатов </w:t>
      </w:r>
      <w:r>
        <w:rPr>
          <w:b/>
          <w:bCs/>
          <w:sz w:val="24"/>
          <w:szCs w:val="24"/>
          <w:lang w:val="ru-RU"/>
        </w:rPr>
        <w:t>исследований (испытаний) и измерений, договоров, финансовых документов:</w:t>
      </w:r>
    </w:p>
    <w:p>
      <w:pPr>
        <w:pStyle w:val="Normal"/>
        <w:suppressAutoHyphens w:val="true"/>
        <w:ind w:hanging="0"/>
        <w:jc w:val="left"/>
        <w:rPr>
          <w:bCs/>
          <w:sz w:val="24"/>
          <w:szCs w:val="24"/>
          <w:lang w:val="ru-RU"/>
        </w:rPr>
      </w:pPr>
      <w:r>
        <w:rPr>
          <w:bCs/>
          <w:szCs w:val="28"/>
          <w:lang w:val="ru-RU"/>
        </w:rPr>
        <w:t>□</w:t>
      </w:r>
      <w:r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лично в руки;          </w:t>
      </w:r>
      <w:r>
        <w:rPr>
          <w:bCs/>
          <w:szCs w:val="28"/>
          <w:lang w:val="ru-RU"/>
        </w:rPr>
        <w:t>□</w:t>
      </w:r>
      <w:r>
        <w:rPr>
          <w:bCs/>
          <w:sz w:val="24"/>
          <w:szCs w:val="24"/>
          <w:lang w:val="ru-RU"/>
        </w:rPr>
        <w:t xml:space="preserve">заказным письмом;       </w:t>
      </w:r>
      <w:r>
        <w:rPr>
          <w:bCs/>
          <w:szCs w:val="28"/>
          <w:lang w:val="ru-RU"/>
        </w:rPr>
        <w:t>□</w:t>
      </w:r>
      <w:r>
        <w:rPr>
          <w:bCs/>
          <w:sz w:val="24"/>
          <w:szCs w:val="24"/>
          <w:lang w:val="ru-RU"/>
        </w:rPr>
        <w:t xml:space="preserve"> факсом;        </w:t>
      </w:r>
      <w:r>
        <w:rPr>
          <w:bCs/>
          <w:szCs w:val="28"/>
          <w:lang w:val="ru-RU"/>
        </w:rPr>
        <w:t>□</w:t>
      </w:r>
      <w:r>
        <w:rPr>
          <w:bCs/>
          <w:sz w:val="24"/>
          <w:szCs w:val="24"/>
          <w:lang w:val="ru-RU"/>
        </w:rPr>
        <w:t xml:space="preserve"> по электронной почте.</w:t>
      </w:r>
    </w:p>
    <w:p>
      <w:pPr>
        <w:pStyle w:val="Normal"/>
        <w:suppressAutoHyphens w:val="true"/>
        <w:ind w:hanging="0"/>
        <w:jc w:val="lef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</w:r>
    </w:p>
    <w:p>
      <w:pPr>
        <w:pStyle w:val="Normal"/>
        <w:ind w:hanging="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По результатам измерений выдается заключение о соответствии требованиям НД согласно правилу принятия решения, описанному в «</w:t>
      </w:r>
      <w:r>
        <w:rPr>
          <w:sz w:val="24"/>
          <w:szCs w:val="24"/>
          <w:lang w:val="ru-RU"/>
        </w:rPr>
        <w:t>Инструкции по правилу принятия решения и заявлению о соответствии»</w:t>
      </w:r>
      <w:r>
        <w:rPr>
          <w:bCs/>
          <w:sz w:val="24"/>
          <w:szCs w:val="24"/>
          <w:lang w:val="ru-RU"/>
        </w:rPr>
        <w:t>:</w:t>
      </w:r>
      <w:r>
        <w:rPr>
          <w:b/>
          <w:bCs/>
          <w:sz w:val="24"/>
          <w:szCs w:val="24"/>
          <w:lang w:val="ru-RU"/>
        </w:rPr>
        <w:t xml:space="preserve">   </w:t>
      </w:r>
      <w:r>
        <w:rPr>
          <w:b/>
          <w:bCs/>
          <w:szCs w:val="28"/>
          <w:lang w:val="ru-RU"/>
        </w:rPr>
        <w:t xml:space="preserve">□ </w:t>
      </w:r>
      <w:r>
        <w:rPr>
          <w:bCs/>
          <w:sz w:val="24"/>
          <w:szCs w:val="24"/>
          <w:lang w:val="ru-RU"/>
        </w:rPr>
        <w:t>Да</w:t>
      </w:r>
      <w:r>
        <w:rPr>
          <w:b/>
          <w:bCs/>
          <w:szCs w:val="28"/>
          <w:lang w:val="ru-RU"/>
        </w:rPr>
        <w:t xml:space="preserve">,   □ </w:t>
      </w:r>
      <w:r>
        <w:rPr>
          <w:bCs/>
          <w:sz w:val="24"/>
          <w:szCs w:val="24"/>
          <w:lang w:val="ru-RU"/>
        </w:rPr>
        <w:t>Нет</w:t>
      </w:r>
    </w:p>
    <w:p>
      <w:pPr>
        <w:pStyle w:val="Normal"/>
        <w:suppressAutoHyphens w:val="true"/>
        <w:ind w:hanging="0"/>
        <w:jc w:val="lef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</w:r>
    </w:p>
    <w:p>
      <w:pPr>
        <w:pStyle w:val="Normal"/>
        <w:ind w:hanging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Заказчик ознакомлен:  </w:t>
      </w:r>
      <w:r>
        <w:rPr>
          <w:sz w:val="24"/>
          <w:szCs w:val="24"/>
          <w:lang w:val="ru-RU"/>
        </w:rPr>
        <w:t>с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методами исследований (испытаний) и измерений, диапазонами определения, сроками проведения работ и прейскурантом цен</w:t>
      </w:r>
    </w:p>
    <w:p>
      <w:pPr>
        <w:pStyle w:val="Normal"/>
        <w:suppressAutoHyphens w:val="true"/>
        <w:ind w:hanging="0"/>
        <w:jc w:val="left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</w:r>
    </w:p>
    <w:p>
      <w:pPr>
        <w:pStyle w:val="Normal"/>
        <w:tabs>
          <w:tab w:val="clear" w:pos="708"/>
          <w:tab w:val="left" w:pos="4536" w:leader="none"/>
          <w:tab w:val="left" w:pos="7371" w:leader="none"/>
        </w:tabs>
        <w:suppressAutoHyphens w:val="true"/>
        <w:ind w:hanging="0"/>
        <w:jc w:val="left"/>
        <w:rPr>
          <w:color w:val="000000"/>
          <w:sz w:val="24"/>
          <w:szCs w:val="24"/>
          <w:lang w:val="ru-RU" w:eastAsia="ru-RU" w:bidi="ar-SA"/>
        </w:rPr>
      </w:pPr>
      <w:r>
        <w:rPr>
          <w:color w:val="000000"/>
          <w:sz w:val="24"/>
          <w:szCs w:val="24"/>
          <w:lang w:val="ru-RU" w:eastAsia="ru-RU" w:bidi="ar-SA"/>
        </w:rPr>
        <w:t>__________________________________</w:t>
        <w:tab/>
        <w:t>_______________</w:t>
        <w:tab/>
        <w:t>_________________</w:t>
      </w:r>
    </w:p>
    <w:p>
      <w:pPr>
        <w:pStyle w:val="Normal"/>
        <w:tabs>
          <w:tab w:val="clear" w:pos="708"/>
          <w:tab w:val="left" w:pos="4962" w:leader="none"/>
          <w:tab w:val="left" w:pos="7655" w:leader="none"/>
        </w:tabs>
        <w:suppressAutoHyphens w:val="true"/>
        <w:ind w:hanging="0"/>
        <w:jc w:val="left"/>
        <w:rPr>
          <w:color w:val="000000"/>
          <w:sz w:val="24"/>
          <w:szCs w:val="24"/>
          <w:vertAlign w:val="superscript"/>
          <w:lang w:val="ru-RU" w:eastAsia="ru-RU" w:bidi="ar-SA"/>
        </w:rPr>
      </w:pPr>
      <w:r>
        <w:rPr>
          <w:color w:val="000000"/>
          <w:sz w:val="24"/>
          <w:szCs w:val="24"/>
          <w:vertAlign w:val="superscript"/>
          <w:lang w:val="ru-RU" w:eastAsia="ru-RU" w:bidi="ar-SA"/>
        </w:rPr>
        <w:t xml:space="preserve">               </w:t>
      </w:r>
      <w:r>
        <w:rPr>
          <w:color w:val="000000"/>
          <w:sz w:val="24"/>
          <w:szCs w:val="24"/>
          <w:vertAlign w:val="superscript"/>
          <w:lang w:val="ru-RU" w:eastAsia="ru-RU" w:bidi="ar-SA"/>
        </w:rPr>
        <w:t>Руководитель  организации-заказчика</w:t>
        <w:tab/>
        <w:t>подпись</w:t>
        <w:tab/>
        <w:t>инициалы, фамилия</w:t>
      </w:r>
    </w:p>
    <w:p>
      <w:pPr>
        <w:pStyle w:val="Normal"/>
        <w:suppressAutoHyphens w:val="true"/>
        <w:ind w:firstLine="708"/>
        <w:jc w:val="left"/>
        <w:rPr>
          <w:color w:val="000000"/>
          <w:sz w:val="24"/>
          <w:szCs w:val="24"/>
          <w:lang w:val="ru-RU" w:eastAsia="ru-RU" w:bidi="ar-SA"/>
        </w:rPr>
      </w:pPr>
      <w:r>
        <w:rPr>
          <w:color w:val="000000"/>
          <w:sz w:val="24"/>
          <w:szCs w:val="24"/>
          <w:lang w:val="ru-RU" w:eastAsia="ru-RU" w:bidi="ar-SA"/>
        </w:rPr>
      </w:r>
    </w:p>
    <w:p>
      <w:pPr>
        <w:pStyle w:val="Normal"/>
        <w:suppressAutoHyphens w:val="true"/>
        <w:ind w:firstLine="708"/>
        <w:jc w:val="left"/>
        <w:rPr>
          <w:sz w:val="24"/>
          <w:szCs w:val="24"/>
          <w:lang w:val="ru-RU" w:eastAsia="ru-RU" w:bidi="ar-SA"/>
        </w:rPr>
      </w:pPr>
      <w:r>
        <w:rPr>
          <w:color w:val="000000"/>
          <w:sz w:val="24"/>
          <w:szCs w:val="24"/>
          <w:lang w:val="ru-RU" w:eastAsia="ru-RU" w:bidi="ar-SA"/>
        </w:rPr>
        <w:t xml:space="preserve">М.П.                                                                          </w:t>
      </w:r>
      <w:r>
        <w:rPr>
          <w:sz w:val="24"/>
          <w:szCs w:val="24"/>
          <w:lang w:val="ru-RU" w:eastAsia="ru-RU" w:bidi="ar-SA"/>
        </w:rPr>
        <w:tab/>
        <w:t xml:space="preserve"> «_____» _____________ 20 ____ г.</w:t>
      </w:r>
    </w:p>
    <w:p>
      <w:pPr>
        <w:pStyle w:val="Normal"/>
        <w:suppressAutoHyphens w:val="true"/>
        <w:ind w:firstLine="708"/>
        <w:jc w:val="left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</w:r>
    </w:p>
    <w:p>
      <w:pPr>
        <w:pStyle w:val="Normal"/>
        <w:suppressAutoHyphens w:val="true"/>
        <w:ind w:firstLine="70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suppressAutoHyphens w:val="true"/>
        <w:ind w:firstLine="70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Анализ заявки проведен и согласован с Заказчиком.</w:t>
      </w:r>
    </w:p>
    <w:p>
      <w:pPr>
        <w:pStyle w:val="Normal"/>
        <w:suppressAutoHyphens w:val="true"/>
        <w:ind w:firstLine="70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rPr>
          <w:szCs w:val="28"/>
          <w:lang w:val="ru-RU"/>
        </w:rPr>
      </w:pPr>
      <w:r>
        <w:rPr>
          <w:szCs w:val="28"/>
          <w:lang w:val="ru-RU"/>
        </w:rPr>
        <w:t>__________________________________________________________________</w:t>
      </w:r>
    </w:p>
    <w:p>
      <w:pPr>
        <w:pStyle w:val="Normal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</w:t>
      </w:r>
      <w:r>
        <w:rPr>
          <w:sz w:val="16"/>
          <w:szCs w:val="16"/>
          <w:lang w:val="ru-RU"/>
        </w:rPr>
        <w:t>Специалист ИЦ                                        ФИО                                            подпись                                               Дата</w:t>
      </w:r>
    </w:p>
    <w:p>
      <w:pPr>
        <w:pStyle w:val="Normal"/>
        <w:suppressAutoHyphens w:val="true"/>
        <w:ind w:firstLine="708"/>
        <w:jc w:val="left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ucida Sans Typewriter">
    <w:charset w:val="01"/>
    <w:family w:val="modern"/>
    <w:pitch w:val="fixed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Lucida Sans Typewriter" w:hAnsi="Lucida Sans Typewriter" w:cs="Lucida Sans Typewrit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Lucida Sans Typewriter" w:hAnsi="Lucida Sans Typewriter" w:cs="Lucida Sans Typewrite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077c"/>
    <w:pPr>
      <w:widowControl/>
      <w:bidi w:val="0"/>
      <w:spacing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1"/>
    <w:qFormat/>
    <w:rsid w:val="0020077c"/>
    <w:pPr>
      <w:keepNext w:val="true"/>
      <w:keepLines/>
      <w:numPr>
        <w:ilvl w:val="0"/>
        <w:numId w:val="2"/>
      </w:numPr>
      <w:ind w:firstLine="567" w:left="0"/>
      <w:outlineLvl w:val="0"/>
    </w:pPr>
    <w:rPr>
      <w:bCs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uiPriority w:val="99"/>
    <w:semiHidden/>
    <w:qFormat/>
    <w:rsid w:val="00756e66"/>
    <w:rPr/>
  </w:style>
  <w:style w:type="character" w:styleId="1" w:customStyle="1">
    <w:name w:val="Заголовок 1 Знак"/>
    <w:qFormat/>
    <w:rsid w:val="0020077c"/>
    <w:rPr>
      <w:rFonts w:ascii="Times New Roman" w:hAnsi="Times New Roman" w:eastAsia="Times New Roman" w:cs="Times New Roman"/>
      <w:bCs/>
      <w:sz w:val="28"/>
      <w:szCs w:val="28"/>
      <w:lang w:val="en-US" w:bidi="en-US"/>
    </w:rPr>
  </w:style>
  <w:style w:type="character" w:styleId="Style14" w:customStyle="1">
    <w:name w:val="Текст выноски Знак"/>
    <w:link w:val="BalloonText"/>
    <w:uiPriority w:val="99"/>
    <w:semiHidden/>
    <w:qFormat/>
    <w:rsid w:val="00403c03"/>
    <w:rPr>
      <w:rFonts w:ascii="Tahoma" w:hAnsi="Tahoma" w:eastAsia="Times New Roman" w:cs="Tahoma"/>
      <w:sz w:val="16"/>
      <w:szCs w:val="16"/>
      <w:lang w:val="en-US" w:eastAsia="en-US" w:bidi="en-US"/>
    </w:rPr>
  </w:style>
  <w:style w:type="character" w:styleId="Hyperlink">
    <w:name w:val="Hyperlink"/>
    <w:rsid w:val="00db11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11d7"/>
    <w:rPr>
      <w:color w:themeColor="followedHyperlink"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link w:val="Style13"/>
    <w:uiPriority w:val="99"/>
    <w:semiHidden/>
    <w:unhideWhenUsed/>
    <w:rsid w:val="00756e6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1" w:customStyle="1">
    <w:name w:val="Стиль1"/>
    <w:basedOn w:val="BodyText"/>
    <w:qFormat/>
    <w:rsid w:val="00756e66"/>
    <w:pPr>
      <w:numPr>
        <w:ilvl w:val="0"/>
        <w:numId w:val="1"/>
      </w:numPr>
      <w:tabs>
        <w:tab w:val="clear" w:pos="708"/>
        <w:tab w:val="left" w:pos="851" w:leader="none"/>
      </w:tabs>
      <w:suppressAutoHyphens w:val="true"/>
      <w:spacing w:before="0" w:after="0"/>
    </w:pPr>
    <w:rPr>
      <w:color w:val="000000"/>
      <w:szCs w:val="28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03c03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14b6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1200115349" TargetMode="External"/><Relationship Id="rId3" Type="http://schemas.openxmlformats.org/officeDocument/2006/relationships/hyperlink" Target="kodeks://link/d?nd=1200104665" TargetMode="External"/><Relationship Id="rId4" Type="http://schemas.openxmlformats.org/officeDocument/2006/relationships/hyperlink" Target="kodeks://link/d?nd=1200103652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LibreOffice/24.8.5.2$Linux_X86_64 LibreOffice_project/480$Build-2</Application>
  <AppVersion>15.0000</AppVersion>
  <Pages>2</Pages>
  <Words>322</Words>
  <Characters>2623</Characters>
  <CharactersWithSpaces>3161</CharactersWithSpaces>
  <Paragraphs>61</Paragraphs>
  <Company>ОЦСМ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2023-01-19T05:57:00Z</dcterms:created>
  <dc:creator>Тернов Евгений Владимирович</dc:creator>
  <dc:description/>
  <dc:language>ru-RU</dc:language>
  <cp:lastModifiedBy/>
  <cp:lastPrinted>2019-03-12T00:29:00Z</cp:lastPrinted>
  <dcterms:modified xsi:type="dcterms:W3CDTF">2025-08-22T09:24:52Z</dcterms:modified>
  <cp:revision>9</cp:revision>
  <dc:subject/>
  <dc:title>Руководителю ОС ЭЭ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